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D33C7" w14:textId="70104979" w:rsidR="00CF3243" w:rsidRDefault="00CF3243" w:rsidP="00D302CA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</w:rPr>
      </w:pPr>
      <w:proofErr w:type="spellStart"/>
      <w:r w:rsidRPr="00D302CA">
        <w:rPr>
          <w:rFonts w:ascii="Century Gothic" w:eastAsia="Times New Roman" w:hAnsi="Century Gothic" w:cs="Arial"/>
          <w:sz w:val="24"/>
          <w:szCs w:val="24"/>
        </w:rPr>
        <w:t>Informaci</w:t>
      </w:r>
      <w:r w:rsidR="00D302CA">
        <w:rPr>
          <w:rFonts w:ascii="Century Gothic" w:eastAsia="Times New Roman" w:hAnsi="Century Gothic" w:cs="Arial"/>
          <w:sz w:val="24"/>
          <w:szCs w:val="24"/>
        </w:rPr>
        <w:t>ón</w:t>
      </w:r>
      <w:proofErr w:type="spellEnd"/>
      <w:r w:rsidR="00D302CA"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 w:rsidR="00D302CA">
        <w:rPr>
          <w:rFonts w:ascii="Century Gothic" w:eastAsia="Times New Roman" w:hAnsi="Century Gothic" w:cs="Arial"/>
          <w:sz w:val="24"/>
          <w:szCs w:val="24"/>
        </w:rPr>
        <w:t>sobre</w:t>
      </w:r>
      <w:proofErr w:type="spellEnd"/>
      <w:r w:rsidR="00D302CA"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 w:rsidR="00D302CA">
        <w:rPr>
          <w:rFonts w:ascii="Century Gothic" w:eastAsia="Times New Roman" w:hAnsi="Century Gothic" w:cs="Arial"/>
          <w:sz w:val="24"/>
          <w:szCs w:val="24"/>
        </w:rPr>
        <w:t>evaluación</w:t>
      </w:r>
      <w:proofErr w:type="spellEnd"/>
      <w:r w:rsidR="00D302CA">
        <w:rPr>
          <w:rFonts w:ascii="Century Gothic" w:eastAsia="Times New Roman" w:hAnsi="Century Gothic" w:cs="Arial"/>
          <w:sz w:val="24"/>
          <w:szCs w:val="24"/>
        </w:rPr>
        <w:t xml:space="preserve"> para </w:t>
      </w:r>
      <w:proofErr w:type="spellStart"/>
      <w:r w:rsidR="00D302CA">
        <w:rPr>
          <w:rFonts w:ascii="Century Gothic" w:eastAsia="Times New Roman" w:hAnsi="Century Gothic" w:cs="Arial"/>
          <w:sz w:val="24"/>
          <w:szCs w:val="24"/>
        </w:rPr>
        <w:t>recibir</w:t>
      </w:r>
      <w:proofErr w:type="spellEnd"/>
      <w:r w:rsidR="00D302CA"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 w:rsidR="00D302CA">
        <w:rPr>
          <w:rFonts w:ascii="Century Gothic" w:eastAsia="Times New Roman" w:hAnsi="Century Gothic" w:cs="Arial"/>
          <w:sz w:val="24"/>
          <w:szCs w:val="24"/>
        </w:rPr>
        <w:t>servicios</w:t>
      </w:r>
      <w:proofErr w:type="spellEnd"/>
      <w:r w:rsidR="00D302CA">
        <w:rPr>
          <w:rFonts w:ascii="Century Gothic" w:eastAsia="Times New Roman" w:hAnsi="Century Gothic" w:cs="Arial"/>
          <w:sz w:val="24"/>
          <w:szCs w:val="24"/>
        </w:rPr>
        <w:t xml:space="preserve"> de </w:t>
      </w:r>
      <w:proofErr w:type="spellStart"/>
      <w:r w:rsidR="00D302CA">
        <w:rPr>
          <w:rFonts w:ascii="Century Gothic" w:eastAsia="Times New Roman" w:hAnsi="Century Gothic" w:cs="Arial"/>
          <w:sz w:val="24"/>
          <w:szCs w:val="24"/>
        </w:rPr>
        <w:t>nivel</w:t>
      </w:r>
      <w:proofErr w:type="spellEnd"/>
      <w:r w:rsidR="00D302CA">
        <w:rPr>
          <w:rFonts w:ascii="Century Gothic" w:eastAsia="Times New Roman" w:hAnsi="Century Gothic" w:cs="Arial"/>
          <w:sz w:val="24"/>
          <w:szCs w:val="24"/>
        </w:rPr>
        <w:t xml:space="preserve"> IV – 2021-2022</w:t>
      </w:r>
    </w:p>
    <w:p w14:paraId="3BDF98C6" w14:textId="14642760" w:rsidR="00D302CA" w:rsidRDefault="00D302CA" w:rsidP="00D302CA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</w:rPr>
      </w:pPr>
      <w:proofErr w:type="spellStart"/>
      <w:r>
        <w:rPr>
          <w:rFonts w:ascii="Century Gothic" w:eastAsia="Times New Roman" w:hAnsi="Century Gothic" w:cs="Arial"/>
          <w:sz w:val="24"/>
          <w:szCs w:val="24"/>
        </w:rPr>
        <w:t>Profesora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Especilista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en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Recursos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Académicos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Avanzados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 xml:space="preserve"> Lauren Keninitz (</w:t>
      </w:r>
      <w:hyperlink r:id="rId5" w:history="1">
        <w:r w:rsidRPr="002D5D45">
          <w:rPr>
            <w:rStyle w:val="Hyperlink"/>
            <w:rFonts w:ascii="Century Gothic" w:eastAsia="Times New Roman" w:hAnsi="Century Gothic" w:cs="Arial"/>
            <w:sz w:val="24"/>
            <w:szCs w:val="24"/>
          </w:rPr>
          <w:t>Lmkeninitz@fcps.edu</w:t>
        </w:r>
      </w:hyperlink>
      <w:r>
        <w:rPr>
          <w:rFonts w:ascii="Century Gothic" w:eastAsia="Times New Roman" w:hAnsi="Century Gothic" w:cs="Arial"/>
          <w:sz w:val="24"/>
          <w:szCs w:val="24"/>
        </w:rPr>
        <w:t>)</w:t>
      </w:r>
    </w:p>
    <w:p w14:paraId="61475BA6" w14:textId="3E554135" w:rsidR="00D302CA" w:rsidRDefault="00D302CA" w:rsidP="00D302CA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</w:rPr>
      </w:pPr>
      <w:proofErr w:type="spellStart"/>
      <w:r>
        <w:rPr>
          <w:rFonts w:ascii="Century Gothic" w:eastAsia="Times New Roman" w:hAnsi="Century Gothic" w:cs="Arial"/>
          <w:sz w:val="24"/>
          <w:szCs w:val="24"/>
        </w:rPr>
        <w:t>Directora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 xml:space="preserve"> Lauren Badini</w:t>
      </w:r>
    </w:p>
    <w:p w14:paraId="67B3629F" w14:textId="323DEEFE" w:rsidR="00D302CA" w:rsidRDefault="00D302CA" w:rsidP="00D302CA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0056"/>
      </w:tblGrid>
      <w:tr w:rsidR="00D302CA" w:rsidRPr="00D302CA" w14:paraId="3CEC83F3" w14:textId="77777777" w:rsidTr="009B2EFB">
        <w:trPr>
          <w:trHeight w:val="5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F9C50" w14:textId="26625CA6" w:rsidR="00D302CA" w:rsidRPr="00D302CA" w:rsidRDefault="00D302CA" w:rsidP="009B2E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Lista para las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familias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Solicitud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evaluación</w:t>
            </w:r>
            <w:proofErr w:type="spellEnd"/>
            <w:r w:rsidRPr="00D302CA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u w:val="single"/>
              </w:rPr>
              <w:t>fecha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u w:val="single"/>
              </w:rPr>
              <w:t>límite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: 15to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u w:val="single"/>
              </w:rPr>
              <w:t>diciembre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o antes</w:t>
            </w:r>
            <w:r w:rsidRPr="00D302CA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)</w:t>
            </w:r>
          </w:p>
        </w:tc>
      </w:tr>
      <w:tr w:rsidR="00D302CA" w:rsidRPr="00D302CA" w14:paraId="2AE13F9C" w14:textId="77777777" w:rsidTr="009B2E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EE7C7" w14:textId="77777777" w:rsidR="00D302CA" w:rsidRPr="00D302CA" w:rsidRDefault="00D302CA" w:rsidP="009B2EFB">
            <w:pPr>
              <w:spacing w:before="100" w:beforeAutospacing="1" w:after="100" w:afterAutospacing="1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  <w:p w14:paraId="7D5EA9B6" w14:textId="77777777" w:rsidR="00D302CA" w:rsidRPr="00D302CA" w:rsidRDefault="00D302CA" w:rsidP="009B2EFB">
            <w:pPr>
              <w:spacing w:before="100" w:beforeAutospacing="1" w:after="100" w:afterAutospacing="1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302CA">
              <w:rPr>
                <w:rFonts w:ascii="Century Gothic" w:hAnsi="Century Gothic" w:cs="Arial"/>
                <w:noProof/>
                <w:sz w:val="24"/>
                <w:szCs w:val="24"/>
              </w:rPr>
              <w:drawing>
                <wp:inline distT="0" distB="0" distL="0" distR="0" wp14:anchorId="37498707" wp14:editId="1ACDEB51">
                  <wp:extent cx="333333" cy="3523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A1A4F4" w14:textId="77777777" w:rsidR="00D302CA" w:rsidRPr="00D302CA" w:rsidRDefault="00D302CA" w:rsidP="009B2EFB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1E59A" w14:textId="67F3BB57" w:rsidR="00D302CA" w:rsidRPr="00D302CA" w:rsidRDefault="00D302CA" w:rsidP="009B2EFB">
            <w:pPr>
              <w:shd w:val="clear" w:color="auto" w:fill="FFFFFF"/>
              <w:spacing w:after="24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Obligatorio</w:t>
            </w:r>
            <w:proofErr w:type="spellEnd"/>
            <w:r w:rsidRPr="00D302C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D302C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</w:rPr>
              <w:t>Formulario</w:t>
            </w:r>
            <w:proofErr w:type="spellEnd"/>
            <w:r w:rsidRPr="00D302C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302C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</w:rPr>
              <w:t>solicitud</w:t>
            </w:r>
            <w:proofErr w:type="spellEnd"/>
            <w:r w:rsidRPr="00D302C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302C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</w:rPr>
              <w:t>evaluación</w:t>
            </w:r>
            <w:proofErr w:type="spellEnd"/>
            <w:r w:rsidRPr="00D302C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</w:rPr>
              <w:t xml:space="preserve"> para </w:t>
            </w:r>
            <w:proofErr w:type="spellStart"/>
            <w:r w:rsidRPr="00D302C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</w:rPr>
              <w:t>recibir</w:t>
            </w:r>
            <w:proofErr w:type="spellEnd"/>
            <w:r w:rsidRPr="00D302C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02C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</w:rPr>
              <w:t>servicios</w:t>
            </w:r>
            <w:proofErr w:type="spellEnd"/>
            <w:r w:rsidRPr="00D302C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</w:rPr>
              <w:t xml:space="preserve"> de Nivel IV</w:t>
            </w:r>
            <w:r>
              <w:rPr>
                <w:rFonts w:ascii="Century Gothic" w:eastAsia="Times New Roman" w:hAnsi="Century Gothic" w:cs="Arial"/>
                <w:i/>
                <w:iCs/>
                <w:sz w:val="24"/>
                <w:szCs w:val="24"/>
              </w:rPr>
              <w:t xml:space="preserve"> (</w:t>
            </w:r>
            <w:hyperlink r:id="rId7" w:history="1">
              <w:r w:rsidRPr="00D302CA">
                <w:rPr>
                  <w:rStyle w:val="Hyperlink"/>
                  <w:rFonts w:ascii="Century Gothic" w:eastAsia="Times New Roman" w:hAnsi="Century Gothic" w:cs="Arial"/>
                  <w:i/>
                  <w:iCs/>
                  <w:sz w:val="24"/>
                  <w:szCs w:val="24"/>
                </w:rPr>
                <w:t>Spanish</w:t>
              </w:r>
            </w:hyperlink>
            <w:r>
              <w:rPr>
                <w:rFonts w:ascii="Century Gothic" w:eastAsia="Times New Roman" w:hAnsi="Century Gothic" w:cs="Arial"/>
                <w:i/>
                <w:iCs/>
                <w:sz w:val="24"/>
                <w:szCs w:val="24"/>
              </w:rPr>
              <w:t xml:space="preserve"> and </w:t>
            </w:r>
            <w:hyperlink r:id="rId8" w:history="1">
              <w:r w:rsidRPr="00D302CA">
                <w:rPr>
                  <w:rStyle w:val="Hyperlink"/>
                  <w:rFonts w:ascii="Century Gothic" w:eastAsia="Times New Roman" w:hAnsi="Century Gothic" w:cs="Arial"/>
                  <w:i/>
                  <w:iCs/>
                  <w:sz w:val="24"/>
                  <w:szCs w:val="24"/>
                </w:rPr>
                <w:t>English</w:t>
              </w:r>
            </w:hyperlink>
            <w:r>
              <w:rPr>
                <w:rFonts w:ascii="Century Gothic" w:eastAsia="Times New Roman" w:hAnsi="Century Gothic" w:cs="Arial"/>
                <w:i/>
                <w:iCs/>
                <w:sz w:val="24"/>
                <w:szCs w:val="24"/>
              </w:rPr>
              <w:t>)</w:t>
            </w:r>
            <w:r w:rsidRPr="00D302CA">
              <w:rPr>
                <w:rFonts w:ascii="Century Gothic" w:eastAsia="Times New Roman" w:hAnsi="Century Gothic" w:cs="Arial"/>
                <w:i/>
                <w:iCs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28FDC202" w14:textId="77777777" w:rsidR="00957DE1" w:rsidRPr="00957DE1" w:rsidRDefault="00957DE1" w:rsidP="00957D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eastAsia="Times New Roman" w:hAnsi="Century Gothic"/>
                <w:lang w:val="es-419"/>
              </w:rPr>
            </w:pPr>
            <w:r w:rsidRPr="00957DE1">
              <w:rPr>
                <w:rFonts w:ascii="Century Gothic" w:eastAsia="Times New Roman" w:hAnsi="Century Gothic"/>
                <w:lang w:val="es-419"/>
              </w:rPr>
              <w:t xml:space="preserve">Enviado por correo electrónico como archivo adjunto o llevado a la oficina de la escuela. </w:t>
            </w:r>
          </w:p>
          <w:p w14:paraId="76F9D6BF" w14:textId="156C8B80" w:rsidR="00D302CA" w:rsidRPr="00D302CA" w:rsidRDefault="00D302CA" w:rsidP="00957DE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</w:rPr>
              <w:t>Enviar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</w:rPr>
              <w:t xml:space="preserve"> por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</w:rPr>
              <w:t>correro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</w:rPr>
              <w:t>electrónico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</w:rPr>
              <w:t xml:space="preserve"> a</w:t>
            </w:r>
            <w:r w:rsidRPr="00D302C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</w:rPr>
              <w:t xml:space="preserve"> Lauren Keninitz - </w:t>
            </w:r>
            <w:hyperlink r:id="rId9" w:history="1">
              <w:r w:rsidRPr="00D302CA">
                <w:rPr>
                  <w:rStyle w:val="Hyperlink"/>
                  <w:rFonts w:ascii="Century Gothic" w:eastAsia="Times New Roman" w:hAnsi="Century Gothic" w:cs="Arial"/>
                  <w:i/>
                  <w:iCs/>
                  <w:sz w:val="24"/>
                  <w:szCs w:val="24"/>
                </w:rPr>
                <w:t>Lmkeninitz@fcps.edu</w:t>
              </w:r>
            </w:hyperlink>
            <w:r w:rsidRPr="00D302C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Arial"/>
                <w:i/>
                <w:iCs/>
                <w:sz w:val="24"/>
                <w:szCs w:val="24"/>
              </w:rPr>
              <w:t>y</w:t>
            </w:r>
            <w:r w:rsidRPr="00D302CA">
              <w:rPr>
                <w:rFonts w:ascii="Century Gothic" w:eastAsia="Times New Roman" w:hAnsi="Century Gothic" w:cs="Arial"/>
                <w:i/>
                <w:iCs/>
                <w:sz w:val="24"/>
                <w:szCs w:val="24"/>
              </w:rPr>
              <w:t xml:space="preserve"> Lauren Badini – </w:t>
            </w:r>
            <w:hyperlink r:id="rId10" w:history="1">
              <w:r w:rsidR="008864EE" w:rsidRPr="002D5D45">
                <w:rPr>
                  <w:rStyle w:val="Hyperlink"/>
                  <w:rFonts w:ascii="Century Gothic" w:eastAsia="Times New Roman" w:hAnsi="Century Gothic" w:cs="Arial"/>
                  <w:i/>
                  <w:iCs/>
                  <w:sz w:val="24"/>
                  <w:szCs w:val="24"/>
                </w:rPr>
                <w:t>Lebadini@fcps.edu</w:t>
              </w:r>
            </w:hyperlink>
            <w:r w:rsidRPr="00D302CA">
              <w:rPr>
                <w:rFonts w:ascii="Century Gothic" w:eastAsia="Times New Roman" w:hAnsi="Century Gothic" w:cs="Arial"/>
                <w:i/>
                <w:iCs/>
                <w:color w:val="333333"/>
                <w:sz w:val="24"/>
                <w:szCs w:val="24"/>
              </w:rPr>
              <w:t xml:space="preserve">  </w:t>
            </w:r>
          </w:p>
          <w:p w14:paraId="69B048AF" w14:textId="77777777" w:rsidR="00D302CA" w:rsidRPr="00D302CA" w:rsidRDefault="00D302CA" w:rsidP="009B2EFB">
            <w:pPr>
              <w:shd w:val="clear" w:color="auto" w:fill="FFFFFF"/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333333"/>
                <w:sz w:val="24"/>
                <w:szCs w:val="24"/>
              </w:rPr>
            </w:pPr>
          </w:p>
        </w:tc>
      </w:tr>
      <w:tr w:rsidR="00D302CA" w:rsidRPr="00D302CA" w14:paraId="19EC70E7" w14:textId="77777777" w:rsidTr="009B2E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21BF1" w14:textId="77777777" w:rsidR="00D302CA" w:rsidRPr="00D302CA" w:rsidRDefault="00D302CA" w:rsidP="009B2EFB">
            <w:pPr>
              <w:spacing w:before="100" w:beforeAutospacing="1" w:after="100" w:afterAutospacing="1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302CA">
              <w:rPr>
                <w:rFonts w:ascii="Century Gothic" w:hAnsi="Century Gothic" w:cs="Arial"/>
                <w:noProof/>
                <w:sz w:val="24"/>
                <w:szCs w:val="24"/>
              </w:rPr>
              <w:drawing>
                <wp:inline distT="0" distB="0" distL="0" distR="0" wp14:anchorId="68C938BF" wp14:editId="0A92EBAE">
                  <wp:extent cx="333333" cy="3523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69EFA" w14:textId="35F30732" w:rsidR="00D302CA" w:rsidRPr="00D302CA" w:rsidRDefault="00D302CA" w:rsidP="009B2EF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D302CA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2C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Op</w:t>
            </w:r>
            <w:r w:rsidR="002E7D8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c</w:t>
            </w:r>
            <w:r w:rsidRPr="00D302C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ional</w:t>
            </w:r>
            <w:proofErr w:type="spellEnd"/>
            <w:r w:rsidRPr="00D302CA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:</w:t>
            </w:r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3DA6">
              <w:rPr>
                <w:rFonts w:ascii="Century Gothic" w:hAnsi="Century Gothic"/>
                <w:sz w:val="24"/>
                <w:szCs w:val="24"/>
              </w:rPr>
              <w:t>Cuestionario</w:t>
            </w:r>
            <w:proofErr w:type="spellEnd"/>
            <w:r w:rsidR="00953DA6">
              <w:rPr>
                <w:rFonts w:ascii="Century Gothic" w:hAnsi="Century Gothic"/>
                <w:sz w:val="24"/>
                <w:szCs w:val="24"/>
              </w:rPr>
              <w:t xml:space="preserve"> para padres o </w:t>
            </w:r>
            <w:proofErr w:type="spellStart"/>
            <w:r w:rsidR="00953DA6">
              <w:rPr>
                <w:rFonts w:ascii="Century Gothic" w:hAnsi="Century Gothic"/>
                <w:sz w:val="24"/>
                <w:szCs w:val="24"/>
              </w:rPr>
              <w:t>tutores</w:t>
            </w:r>
            <w:proofErr w:type="spellEnd"/>
            <w:r w:rsidR="00953DA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953DA6">
              <w:rPr>
                <w:rFonts w:ascii="Century Gothic" w:hAnsi="Century Gothic"/>
                <w:sz w:val="24"/>
                <w:szCs w:val="24"/>
              </w:rPr>
              <w:t>legales</w:t>
            </w:r>
            <w:proofErr w:type="spellEnd"/>
            <w:r w:rsidR="00953DA6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 w:rsidR="00953DA6">
              <w:rPr>
                <w:rFonts w:ascii="Century Gothic" w:hAnsi="Century Gothic"/>
                <w:sz w:val="24"/>
                <w:szCs w:val="24"/>
              </w:rPr>
              <w:t>recomendado</w:t>
            </w:r>
            <w:proofErr w:type="spellEnd"/>
            <w:r w:rsidR="00953DA6">
              <w:rPr>
                <w:rFonts w:ascii="Century Gothic" w:hAnsi="Century Gothic"/>
                <w:sz w:val="24"/>
                <w:szCs w:val="24"/>
              </w:rPr>
              <w:t>)</w:t>
            </w:r>
          </w:p>
          <w:p w14:paraId="4C0DC006" w14:textId="1B361340" w:rsidR="00D302CA" w:rsidRDefault="00953DA6" w:rsidP="00D302C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Es possible que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este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cuestionario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solo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ocupe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una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página</w:t>
            </w:r>
            <w:proofErr w:type="spellEnd"/>
          </w:p>
          <w:p w14:paraId="468C92E7" w14:textId="17CAF928" w:rsidR="00D302CA" w:rsidRPr="00953DA6" w:rsidRDefault="00953DA6" w:rsidP="00953DA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Cada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pregunta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cuenta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espacio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para que los padres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incluyan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comentarios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adicionales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hasta un total de 456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characteres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.</w:t>
            </w:r>
          </w:p>
        </w:tc>
      </w:tr>
      <w:tr w:rsidR="00D302CA" w:rsidRPr="00D302CA" w14:paraId="00B0EE4B" w14:textId="77777777" w:rsidTr="009B2E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3FE40" w14:textId="77777777" w:rsidR="00D302CA" w:rsidRPr="00D302CA" w:rsidRDefault="00D302CA" w:rsidP="009B2EFB">
            <w:pPr>
              <w:spacing w:before="100" w:beforeAutospacing="1" w:after="100" w:afterAutospacing="1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302CA">
              <w:rPr>
                <w:rFonts w:ascii="Century Gothic" w:hAnsi="Century Gothic" w:cs="Arial"/>
                <w:noProof/>
                <w:sz w:val="24"/>
                <w:szCs w:val="24"/>
              </w:rPr>
              <w:drawing>
                <wp:inline distT="0" distB="0" distL="0" distR="0" wp14:anchorId="41682217" wp14:editId="52F0A8D1">
                  <wp:extent cx="333333" cy="35238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D96CB" w14:textId="463F7167" w:rsidR="00D302CA" w:rsidRPr="00D302CA" w:rsidRDefault="00D302CA" w:rsidP="009B2EF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proofErr w:type="spellStart"/>
            <w:r w:rsidRPr="00D302C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Op</w:t>
            </w:r>
            <w:r w:rsidR="002E7D8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c</w:t>
            </w:r>
            <w:r w:rsidRPr="00D302CA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ional</w:t>
            </w:r>
            <w:proofErr w:type="spellEnd"/>
            <w:r w:rsidRPr="00D302CA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: </w:t>
            </w:r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Dos </w:t>
            </w:r>
            <w:proofErr w:type="spellStart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muestras</w:t>
            </w:r>
            <w:proofErr w:type="spellEnd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trabajos</w:t>
            </w:r>
            <w:proofErr w:type="spellEnd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alumno</w:t>
            </w:r>
            <w:proofErr w:type="spellEnd"/>
            <w:r w:rsidRPr="00D302CA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</w:p>
          <w:p w14:paraId="41FED6C4" w14:textId="65CFC109" w:rsidR="00D302CA" w:rsidRPr="00D302CA" w:rsidRDefault="002E7D8E" w:rsidP="00D302C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Dos (2)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páginas</w:t>
            </w:r>
            <w:proofErr w:type="spellEnd"/>
          </w:p>
          <w:p w14:paraId="68820221" w14:textId="148C9C64" w:rsidR="00D302CA" w:rsidRDefault="002E7D8E" w:rsidP="00D302C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pueden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incluir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dos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páginas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una,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pero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las dos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páginas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deben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ser de la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misma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tarea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o Proyecto</w:t>
            </w:r>
          </w:p>
          <w:p w14:paraId="250B3126" w14:textId="5506A4C8" w:rsidR="002E7D8E" w:rsidRDefault="002E7D8E" w:rsidP="00D302C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Todas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muestras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u w:val="single"/>
              </w:rPr>
              <w:t>deben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u w:val="single"/>
              </w:rPr>
              <w:t>enscribirse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de un solo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u w:val="single"/>
              </w:rPr>
              <w:t>lado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una hoja 8.5” x 11”</w:t>
            </w:r>
          </w:p>
          <w:p w14:paraId="7AEC67B1" w14:textId="48F47B12" w:rsidR="002E7D8E" w:rsidRDefault="002E7D8E" w:rsidP="00D302C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Recomendación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escribir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2 o 3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oraciones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, una breve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descripción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directamente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muestra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explicando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el context de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cada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muestra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.</w:t>
            </w:r>
          </w:p>
          <w:p w14:paraId="73E704D2" w14:textId="7571312D" w:rsidR="00D302CA" w:rsidRPr="002E7D8E" w:rsidRDefault="002E7D8E" w:rsidP="002E7D8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Enviar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formato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PDF o jpg/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png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.</w:t>
            </w:r>
          </w:p>
        </w:tc>
      </w:tr>
      <w:tr w:rsidR="00D302CA" w:rsidRPr="00D302CA" w14:paraId="2E12B74B" w14:textId="77777777" w:rsidTr="009B2EFB">
        <w:trPr>
          <w:trHeight w:val="2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26C6B" w14:textId="77777777" w:rsidR="00D302CA" w:rsidRPr="00D302CA" w:rsidRDefault="00D302CA" w:rsidP="009B2EFB">
            <w:pPr>
              <w:spacing w:before="100" w:beforeAutospacing="1" w:after="100" w:afterAutospacing="1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302CA">
              <w:rPr>
                <w:rFonts w:ascii="Century Gothic" w:hAnsi="Century Gothic" w:cs="Arial"/>
                <w:noProof/>
                <w:sz w:val="24"/>
                <w:szCs w:val="24"/>
              </w:rPr>
              <w:drawing>
                <wp:inline distT="0" distB="0" distL="0" distR="0" wp14:anchorId="7589394E" wp14:editId="2C686E4E">
                  <wp:extent cx="333333" cy="35238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60F0D" w14:textId="15DE2182" w:rsidR="00D302CA" w:rsidRPr="00D302CA" w:rsidRDefault="002E7D8E" w:rsidP="009B2EF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Opcional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2E7D8E">
              <w:rPr>
                <w:rFonts w:ascii="Century Gothic" w:eastAsia="Times New Roman" w:hAnsi="Century Gothic" w:cs="Arial"/>
                <w:sz w:val="24"/>
                <w:szCs w:val="24"/>
              </w:rPr>
              <w:t>Información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</w:rPr>
              <w:t>evaluaciones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</w:rPr>
              <w:t>adicionales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</w:p>
          <w:p w14:paraId="19E878EE" w14:textId="7A923D2B" w:rsidR="00D302CA" w:rsidRDefault="00D302CA" w:rsidP="002E7D8E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302CA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GMU</w:t>
            </w:r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si</w:t>
            </w:r>
            <w:proofErr w:type="spellEnd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están</w:t>
            </w:r>
            <w:proofErr w:type="spellEnd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ofreciendo</w:t>
            </w:r>
            <w:proofErr w:type="spellEnd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evaluaciones</w:t>
            </w:r>
            <w:proofErr w:type="spellEnd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comunicarse</w:t>
            </w:r>
            <w:proofErr w:type="spellEnd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con GMU </w:t>
            </w:r>
            <w:proofErr w:type="spellStart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ya</w:t>
            </w:r>
            <w:proofErr w:type="spellEnd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que sus </w:t>
            </w:r>
            <w:proofErr w:type="spellStart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servicios</w:t>
            </w:r>
            <w:proofErr w:type="spellEnd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pueden</w:t>
            </w:r>
            <w:proofErr w:type="spellEnd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haber</w:t>
            </w:r>
            <w:proofErr w:type="spellEnd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cambiado</w:t>
            </w:r>
            <w:proofErr w:type="spellEnd"/>
            <w:r w:rsidR="002E7D8E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)</w:t>
            </w:r>
          </w:p>
          <w:p w14:paraId="57419C40" w14:textId="2E2A1F75" w:rsidR="002E7D8E" w:rsidRPr="00D302CA" w:rsidRDefault="002E7D8E" w:rsidP="002E7D8E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Psicólogo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clínico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acreditado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, con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copia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licencia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incluida</w:t>
            </w:r>
            <w:proofErr w:type="spellEnd"/>
          </w:p>
          <w:p w14:paraId="0674133D" w14:textId="24F6609F" w:rsidR="00D302CA" w:rsidRPr="00D302CA" w:rsidRDefault="002E7D8E" w:rsidP="009B2EFB">
            <w:pPr>
              <w:spacing w:after="48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Noten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que a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pesar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de que se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pueden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enviar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los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resultados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evaluaciones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privada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cumplen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con las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pautas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, los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únicos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datos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que se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consideran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son los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resultados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evaluaciones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escolares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. Se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consideran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todas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pruebas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aptitud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un context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más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extenso dentro de un conjunto de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evaluaciones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generals. No es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recomendación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de FCPS que las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familias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lleven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a sus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hijos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a que les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hagan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otras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evaluaciones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fuera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de las que FCPS les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ofrece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>todos</w:t>
            </w:r>
            <w:proofErr w:type="spellEnd"/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24"/>
                <w:szCs w:val="24"/>
              </w:rPr>
              <w:t xml:space="preserve"> los alumnus.</w:t>
            </w:r>
          </w:p>
        </w:tc>
      </w:tr>
      <w:tr w:rsidR="00D302CA" w:rsidRPr="00D302CA" w14:paraId="075A8914" w14:textId="77777777" w:rsidTr="009B2E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E9190" w14:textId="77777777" w:rsidR="00D302CA" w:rsidRPr="00D302CA" w:rsidRDefault="00D302CA" w:rsidP="009B2E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D302CA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26048" w14:textId="77777777" w:rsidR="00D302CA" w:rsidRDefault="002E7D8E" w:rsidP="002E7D8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Reconocimiento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estudiantil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/Cartas de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recomendación-Descontinuado</w:t>
            </w:r>
            <w:proofErr w:type="spellEnd"/>
          </w:p>
          <w:p w14:paraId="2CA3149D" w14:textId="153260F4" w:rsidR="002E7D8E" w:rsidRPr="002E7D8E" w:rsidRDefault="002E7D8E" w:rsidP="002E7D8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</w:rPr>
              <w:t>reconocimientos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y las cartas de </w:t>
            </w: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</w:rPr>
              <w:t>recomendación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formarán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parte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 xml:space="preserve"> de los expedients de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evaluaciones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</w:rPr>
              <w:t>.</w:t>
            </w:r>
          </w:p>
        </w:tc>
      </w:tr>
    </w:tbl>
    <w:p w14:paraId="0D0655A0" w14:textId="77777777" w:rsidR="00D302CA" w:rsidRDefault="00D302CA" w:rsidP="00D302CA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</w:rPr>
      </w:pPr>
    </w:p>
    <w:p w14:paraId="7068100A" w14:textId="77777777" w:rsidR="00D302CA" w:rsidRPr="00D302CA" w:rsidRDefault="00D302CA" w:rsidP="00CF3243">
      <w:pPr>
        <w:spacing w:after="240" w:line="240" w:lineRule="auto"/>
        <w:jc w:val="center"/>
        <w:rPr>
          <w:rFonts w:ascii="Century Gothic" w:eastAsia="Times New Roman" w:hAnsi="Century Gothic" w:cs="Arial"/>
          <w:sz w:val="24"/>
          <w:szCs w:val="24"/>
        </w:rPr>
      </w:pPr>
    </w:p>
    <w:p w14:paraId="43795AEB" w14:textId="77777777" w:rsidR="009B06C2" w:rsidRPr="00D302CA" w:rsidRDefault="009B06C2" w:rsidP="00690816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sectPr w:rsidR="009B06C2" w:rsidRPr="00D302CA" w:rsidSect="009B0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354E"/>
    <w:multiLevelType w:val="multilevel"/>
    <w:tmpl w:val="44A2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01008"/>
    <w:multiLevelType w:val="multilevel"/>
    <w:tmpl w:val="754A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94CF9"/>
    <w:multiLevelType w:val="multilevel"/>
    <w:tmpl w:val="7E5E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F3F30"/>
    <w:multiLevelType w:val="multilevel"/>
    <w:tmpl w:val="A086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13D97"/>
    <w:multiLevelType w:val="hybridMultilevel"/>
    <w:tmpl w:val="2E26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630B7"/>
    <w:multiLevelType w:val="multilevel"/>
    <w:tmpl w:val="D20E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A3C2E"/>
    <w:multiLevelType w:val="multilevel"/>
    <w:tmpl w:val="D38E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9A31D6"/>
    <w:multiLevelType w:val="multilevel"/>
    <w:tmpl w:val="2348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1C63D6"/>
    <w:multiLevelType w:val="multilevel"/>
    <w:tmpl w:val="AA4C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D1779"/>
    <w:multiLevelType w:val="multilevel"/>
    <w:tmpl w:val="3FDE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834276"/>
    <w:multiLevelType w:val="multilevel"/>
    <w:tmpl w:val="B404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16"/>
    <w:rsid w:val="00137D55"/>
    <w:rsid w:val="002E7D8E"/>
    <w:rsid w:val="003B6FE4"/>
    <w:rsid w:val="003F3070"/>
    <w:rsid w:val="004D0A4D"/>
    <w:rsid w:val="00690816"/>
    <w:rsid w:val="007A6695"/>
    <w:rsid w:val="008864EE"/>
    <w:rsid w:val="00953DA6"/>
    <w:rsid w:val="00957DE1"/>
    <w:rsid w:val="009B06C2"/>
    <w:rsid w:val="00A242EC"/>
    <w:rsid w:val="00AE5FED"/>
    <w:rsid w:val="00BC0050"/>
    <w:rsid w:val="00C544D8"/>
    <w:rsid w:val="00C559C2"/>
    <w:rsid w:val="00CF3243"/>
    <w:rsid w:val="00D302CA"/>
    <w:rsid w:val="00EE0322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92C1"/>
  <w15:chartTrackingRefBased/>
  <w15:docId w15:val="{451EECD4-017A-4F64-A93D-F2864435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CA"/>
  </w:style>
  <w:style w:type="paragraph" w:styleId="Heading2">
    <w:name w:val="heading 2"/>
    <w:basedOn w:val="Normal"/>
    <w:link w:val="Heading2Char"/>
    <w:uiPriority w:val="9"/>
    <w:qFormat/>
    <w:rsid w:val="00690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8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9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08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6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B06C2"/>
    <w:rPr>
      <w:b/>
      <w:bCs/>
    </w:rPr>
  </w:style>
  <w:style w:type="paragraph" w:styleId="ListParagraph">
    <w:name w:val="List Paragraph"/>
    <w:basedOn w:val="Normal"/>
    <w:uiPriority w:val="34"/>
    <w:qFormat/>
    <w:rsid w:val="009B06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3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ps.edu/sites/default/files/media/forms/AAPLevelIVReferralForm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cps.edu/sites/default/files/media/forms/AAPLevelIVReferralFormSpanish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Lmkeninitz@fcps.edu" TargetMode="External"/><Relationship Id="rId10" Type="http://schemas.openxmlformats.org/officeDocument/2006/relationships/hyperlink" Target="mailto:Lebadini@fcp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keninitz@f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Stoermann, Christy</dc:creator>
  <cp:keywords/>
  <dc:description/>
  <cp:lastModifiedBy>Keninitz, Lauren M</cp:lastModifiedBy>
  <cp:revision>4</cp:revision>
  <cp:lastPrinted>2020-09-11T14:44:00Z</cp:lastPrinted>
  <dcterms:created xsi:type="dcterms:W3CDTF">2021-10-20T13:38:00Z</dcterms:created>
  <dcterms:modified xsi:type="dcterms:W3CDTF">2021-10-20T15:19:00Z</dcterms:modified>
</cp:coreProperties>
</file>